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C757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rFonts w:ascii="Calibri" w:hAnsi="Calibri"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«Ветеринария»</w:t>
      </w:r>
    </w:p>
    <w:p w14:paraId="417850A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Регионального этапа Чемпионата по профессиональному мастерству «Профессионалы» </w:t>
      </w:r>
    </w:p>
    <w:p w14:paraId="0F58B65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hint="default" w:eastAsia="Times New Roman" w:cs="Times New Roman"/>
          <w:color w:val="000000"/>
          <w:sz w:val="36"/>
          <w:szCs w:val="36"/>
          <w:u w:val="single"/>
          <w:lang w:val="ru-RU"/>
        </w:rPr>
      </w:pPr>
      <w:r>
        <w:rPr>
          <w:rFonts w:eastAsia="Times New Roman" w:cs="Times New Roman"/>
          <w:color w:val="000000"/>
          <w:sz w:val="36"/>
          <w:szCs w:val="36"/>
          <w:u w:val="single"/>
          <w:lang w:val="ru-RU"/>
        </w:rPr>
        <w:t>Красноярский</w:t>
      </w:r>
      <w:r>
        <w:rPr>
          <w:rFonts w:hint="default" w:eastAsia="Times New Roman" w:cs="Times New Roman"/>
          <w:color w:val="000000"/>
          <w:sz w:val="36"/>
          <w:szCs w:val="36"/>
          <w:u w:val="single"/>
          <w:lang w:val="ru-RU"/>
        </w:rPr>
        <w:t xml:space="preserve"> край в 2026 г.</w:t>
      </w:r>
    </w:p>
    <w:p w14:paraId="3FBBB96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D9451D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E136DC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A66731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75AC58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058830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  <w:bookmarkStart w:id="9" w:name="_GoBack"/>
      <w:bookmarkEnd w:id="9"/>
    </w:p>
    <w:p w14:paraId="6EA7FCE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D9E4E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D295AB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68A77A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91BF7E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101933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47A41A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134BFB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2FAB9D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5CB14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AE3815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4E4BA9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5D64B1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90B288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C1E19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>
        <w:rPr>
          <w:rFonts w:hint="default" w:eastAsia="Times New Roman" w:cs="Times New Roman"/>
          <w:color w:val="000000"/>
          <w:lang w:val="ru-RU"/>
        </w:rPr>
        <w:t xml:space="preserve">6 </w:t>
      </w:r>
      <w:r>
        <w:rPr>
          <w:rFonts w:eastAsia="Times New Roman" w:cs="Times New Roman"/>
          <w:color w:val="000000"/>
        </w:rPr>
        <w:t>г.</w:t>
      </w:r>
    </w:p>
    <w:p w14:paraId="32C3688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0D8E17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F2A568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645B4B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2B326AC8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r>
            <w:fldChar w:fldCharType="begin"/>
          </w:r>
          <w:r>
            <w:instrText xml:space="preserve"> HYPERLINK \l "_heading=h.30j0zll" \o "#_heading=h.30j0zll" </w:instrText>
          </w:r>
          <w: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1. Область применения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"_heading=h.30j0zll" \o "#_heading=h.30j0zll" </w:instrText>
          </w:r>
          <w:r>
            <w:fldChar w:fldCharType="separate"/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>
            <w:rPr>
              <w:rFonts w:eastAsia="Times New Roman" w:cs="Times New Roman"/>
              <w:color w:val="000000"/>
              <w:sz w:val="28"/>
              <w:szCs w:val="28"/>
            </w:rPr>
            <w:t>3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</w:p>
        <w:p w14:paraId="0C4A0DFA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"_heading=h.1fob9te" \o "#_heading=h.1fob9te" </w:instrText>
          </w:r>
          <w: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2. Нормативные ссылки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"_heading=h.1fob9te" \o "#_heading=h.1fob9te" </w:instrText>
          </w:r>
          <w:r>
            <w:fldChar w:fldCharType="separate"/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>
            <w:rPr>
              <w:rFonts w:eastAsia="Times New Roman" w:cs="Times New Roman"/>
              <w:color w:val="000000"/>
              <w:sz w:val="28"/>
              <w:szCs w:val="28"/>
            </w:rPr>
            <w:t>3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</w:p>
        <w:p w14:paraId="1006F342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"_heading=h.2et92p0" \o "#_heading=h.2et92p0" </w:instrText>
          </w:r>
          <w: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3. Общие требования охраны труда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"_heading=h.2et92p0" \o "#_heading=h.2et92p0" </w:instrText>
          </w:r>
          <w:r>
            <w:fldChar w:fldCharType="separate"/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>
            <w:rPr>
              <w:rFonts w:eastAsia="Times New Roman" w:cs="Times New Roman"/>
              <w:color w:val="000000"/>
              <w:sz w:val="28"/>
              <w:szCs w:val="28"/>
            </w:rPr>
            <w:t>3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</w:p>
        <w:p w14:paraId="75AEF0BB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"_heading=h.tyjcwt" \o "#_heading=h.tyjcwt" </w:instrText>
          </w:r>
          <w: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4. Требования охраны труда перед началом работы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"_heading=h.tyjcwt" \o "#_heading=h.tyjcwt" </w:instrText>
          </w:r>
          <w:r>
            <w:fldChar w:fldCharType="separate"/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>
            <w:rPr>
              <w:rFonts w:eastAsia="Times New Roman" w:cs="Times New Roman"/>
              <w:color w:val="000000"/>
              <w:sz w:val="28"/>
              <w:szCs w:val="28"/>
            </w:rPr>
            <w:t>6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</w:p>
        <w:p w14:paraId="53563A42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"_heading=h.3dy6vkm" \o "#_heading=h.3dy6vkm" </w:instrText>
          </w:r>
          <w: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5. Требования охраны труда во время работы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"_heading=h.3dy6vkm" \o "#_heading=h.3dy6vkm" </w:instrText>
          </w:r>
          <w:r>
            <w:fldChar w:fldCharType="separate"/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>
            <w:rPr>
              <w:rFonts w:eastAsia="Times New Roman" w:cs="Times New Roman"/>
              <w:color w:val="000000"/>
              <w:sz w:val="28"/>
              <w:szCs w:val="28"/>
            </w:rPr>
            <w:t>7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</w:p>
        <w:p w14:paraId="2E05C76D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"_heading=h.1t3h5sf" \o "#_heading=h.1t3h5sf" </w:instrText>
          </w:r>
          <w: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6. Требования охраны труда в аварийных ситуациях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"_heading=h.1t3h5sf" \o "#_heading=h.1t3h5sf" </w:instrText>
          </w:r>
          <w:r>
            <w:fldChar w:fldCharType="separate"/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>
            <w:rPr>
              <w:rFonts w:eastAsia="Times New Roman" w:cs="Times New Roman"/>
              <w:color w:val="000000"/>
              <w:sz w:val="28"/>
              <w:szCs w:val="28"/>
            </w:rPr>
            <w:t>9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</w:p>
        <w:p w14:paraId="2EC06515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HYPERLINK \l "_heading=h.4d34og8" \o "#_heading=h.4d34og8" </w:instrText>
          </w:r>
          <w: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7. Требования охраны труда по окончании работы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"_heading=h.4d34og8" \o "#_heading=h.4d34og8" </w:instrText>
          </w:r>
          <w:r>
            <w:fldChar w:fldCharType="separate"/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</w:r>
          <w:r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  <w:r>
            <w:fldChar w:fldCharType="end"/>
          </w:r>
        </w:p>
      </w:sdtContent>
    </w:sdt>
    <w:p w14:paraId="25F2B13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rPr>
          <w:rFonts w:eastAsia="Times New Roman" w:cs="Times New Roman"/>
          <w:color w:val="000000"/>
        </w:rPr>
      </w:pPr>
    </w:p>
    <w:p w14:paraId="6A857BF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1AB8FF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0DBF125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63011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2D0F458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DEA70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5ECD9B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A6A25E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53D5E5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E58413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ACB85A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0CD2E5A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1C21CC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ED6CC9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173B5F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F17A66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957C51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731C19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ADC0EA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72AE5D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3C1879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27C3F3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3920F20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rPr/>
        <w:br w:type="page" w:clear="all"/>
      </w:r>
    </w:p>
    <w:p w14:paraId="055B18EB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14:paraId="7769AE0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</w:t>
      </w:r>
      <w:r>
        <w:rPr>
          <w:rFonts w:hint="default" w:eastAsia="Times New Roman" w:cs="Times New Roman"/>
          <w:color w:val="000000"/>
          <w:sz w:val="28"/>
          <w:szCs w:val="28"/>
          <w:lang w:val="ru-RU"/>
        </w:rPr>
        <w:t xml:space="preserve">6 </w:t>
      </w:r>
      <w:r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14:paraId="2C46F97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Регионального этапа Чемпионата по профессиональному мастерству «Профессионалы» в 202</w:t>
      </w:r>
      <w:r>
        <w:rPr>
          <w:rFonts w:hint="default" w:eastAsia="Times New Roman" w:cs="Times New Roman"/>
          <w:color w:val="000000"/>
          <w:sz w:val="28"/>
          <w:szCs w:val="28"/>
          <w:lang w:val="ru-RU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г. компетенции «Ветеринария». </w:t>
      </w:r>
    </w:p>
    <w:p w14:paraId="6DF08F2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B3BF5B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 2.1.2 ФГОС СПО по специальности 36.02.01 Ветеринария, утвержден приказом Министерства просвещения Российской Федерации от 07.04.2025 № 210;</w:t>
      </w:r>
    </w:p>
    <w:p w14:paraId="164F2CF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№835н.;</w:t>
      </w:r>
    </w:p>
    <w:p w14:paraId="767D3A1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Правила по охране труда в сельском хозяйстве Приказ Минтруда России от 27.10.2020 № 746н; </w:t>
      </w:r>
    </w:p>
    <w:p w14:paraId="3613F11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3znysh7"/>
      <w:bookmarkEnd w:id="3"/>
      <w:r>
        <w:rPr>
          <w:rFonts w:eastAsia="Times New Roman" w:cs="Times New Roman"/>
          <w:color w:val="000000"/>
          <w:sz w:val="28"/>
          <w:szCs w:val="28"/>
        </w:rPr>
        <w:t>2.1.5 Правила работы и охраны труда в ветеринарных лаборатория, Приказу Минсельхоза России от 5 ноября 2008 г. № 490.</w:t>
      </w:r>
    </w:p>
    <w:p w14:paraId="3613F6B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«Ветеринария»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Ветеринарный фельдшер,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1853749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54AD8A0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2095AE2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2945CB3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759171F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636480E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21B2CCC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2901EC3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49CF583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3277065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1B3B672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0F1802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213E9555">
      <w:pPr>
        <w:pStyle w:val="204"/>
        <w:numPr>
          <w:ilvl w:val="0"/>
          <w:numId w:val="1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компетенции;</w:t>
      </w:r>
    </w:p>
    <w:p w14:paraId="352D2C25">
      <w:pPr>
        <w:pStyle w:val="204"/>
        <w:numPr>
          <w:ilvl w:val="0"/>
          <w:numId w:val="1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оборудования;</w:t>
      </w:r>
    </w:p>
    <w:p w14:paraId="6DE29548">
      <w:pPr>
        <w:pStyle w:val="204"/>
        <w:numPr>
          <w:ilvl w:val="0"/>
          <w:numId w:val="1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 и компетенцией</w:t>
      </w:r>
    </w:p>
    <w:p w14:paraId="43EB4D5E">
      <w:pPr>
        <w:pStyle w:val="204"/>
        <w:numPr>
          <w:ilvl w:val="0"/>
          <w:numId w:val="1"/>
        </w:numPr>
        <w:tabs>
          <w:tab w:val="left" w:pos="2535"/>
        </w:tabs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подготовить рабочее место:</w:t>
      </w:r>
    </w:p>
    <w:p w14:paraId="3503F414">
      <w:pPr>
        <w:pStyle w:val="204"/>
        <w:numPr>
          <w:ilvl w:val="0"/>
          <w:numId w:val="2"/>
        </w:numPr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проверить правильность установки стола, стула;</w:t>
      </w:r>
    </w:p>
    <w:p w14:paraId="73B77070">
      <w:pPr>
        <w:pStyle w:val="204"/>
        <w:numPr>
          <w:ilvl w:val="0"/>
          <w:numId w:val="2"/>
        </w:numPr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расположить оборудование и инструмент согласно требований охраны труда и техники безопасности;</w:t>
      </w:r>
    </w:p>
    <w:p w14:paraId="4A51D096">
      <w:pPr>
        <w:pStyle w:val="204"/>
        <w:numPr>
          <w:ilvl w:val="0"/>
          <w:numId w:val="2"/>
        </w:numPr>
        <w:spacing w:line="360" w:lineRule="auto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проверить надежность фиксации животных в стойлах</w:t>
      </w:r>
    </w:p>
    <w:p w14:paraId="3FBBECF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277DF3AE">
      <w:pPr>
        <w:pStyle w:val="204"/>
        <w:numPr>
          <w:ilvl w:val="0"/>
          <w:numId w:val="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несоблюдение охраны труда и техники безопасности при работе с животными, тренажерами-симуляторами, специальным оборудованием и инструментарием; при жестоком обращении с животными или птицы.</w:t>
      </w:r>
    </w:p>
    <w:p w14:paraId="25FA260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26B2D1F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3"/>
        <w:gridCol w:w="7078"/>
      </w:tblGrid>
      <w:tr w14:paraId="1565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93" w:type="dxa"/>
            <w:shd w:val="clear" w:color="auto" w:fill="auto"/>
            <w:vAlign w:val="center"/>
          </w:tcPr>
          <w:p w14:paraId="2DFB7C58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078" w:type="dxa"/>
            <w:shd w:val="clear" w:color="auto" w:fill="auto"/>
            <w:vAlign w:val="center"/>
          </w:tcPr>
          <w:p w14:paraId="23DDF750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14:paraId="4313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73CC25E6">
            <w:pPr>
              <w:rPr>
                <w:rFonts w:eastAsia="Times New Roman" w:cs="Times New Roman"/>
              </w:rPr>
            </w:pPr>
            <w:r>
              <w:rPr>
                <w:rFonts w:cs="Times New Roman"/>
                <w:bCs/>
              </w:rPr>
              <w:t>Иглы хирургические круглые и треугольные</w:t>
            </w:r>
          </w:p>
        </w:tc>
        <w:tc>
          <w:tcPr>
            <w:tcW w:w="7078" w:type="dxa"/>
            <w:shd w:val="clear" w:color="auto" w:fill="auto"/>
          </w:tcPr>
          <w:p w14:paraId="79D6DE1D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назначению. Аккуратно обращаться с инструментом для предотвращения самотравмирования</w:t>
            </w:r>
          </w:p>
        </w:tc>
      </w:tr>
      <w:tr w14:paraId="7E09A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711AAAAA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Бесконтактный термометр</w:t>
            </w:r>
          </w:p>
        </w:tc>
        <w:tc>
          <w:tcPr>
            <w:tcW w:w="7078" w:type="dxa"/>
            <w:shd w:val="clear" w:color="auto" w:fill="auto"/>
          </w:tcPr>
          <w:p w14:paraId="2712245C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инструмент по назначению</w:t>
            </w:r>
          </w:p>
        </w:tc>
      </w:tr>
      <w:tr w14:paraId="1030F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534FF376">
            <w:pPr>
              <w:rPr>
                <w:rFonts w:eastAsia="Times New Roman" w:cs="Times New Roman"/>
              </w:rPr>
            </w:pPr>
            <w:r>
              <w:rPr>
                <w:rFonts w:cs="Times New Roman"/>
                <w:bCs/>
              </w:rPr>
              <w:t xml:space="preserve">Весы лабораторные </w:t>
            </w:r>
          </w:p>
        </w:tc>
        <w:tc>
          <w:tcPr>
            <w:tcW w:w="7078" w:type="dxa"/>
            <w:shd w:val="clear" w:color="auto" w:fill="auto"/>
          </w:tcPr>
          <w:p w14:paraId="3D3BE7A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 работе не требуется специальных мер безопасности по</w:t>
            </w:r>
          </w:p>
          <w:p w14:paraId="3E33FB0B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ГОСТ 12.2.007.0-75 (к весам предусмотрен сетевой адаптер, выходное напряжение которого 9В, относящееся к сверхнизким напряжениям).</w:t>
            </w:r>
          </w:p>
          <w:p w14:paraId="6B329FF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Не допускается разборка весов и проведение ремонтных работ при включенных весах. При проведении указанных работ необходимо отключить весы от сети и аккумулятора.</w:t>
            </w:r>
          </w:p>
        </w:tc>
      </w:tr>
      <w:tr w14:paraId="3E66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40E7EA8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Гемостатический зажим</w:t>
            </w:r>
          </w:p>
        </w:tc>
        <w:tc>
          <w:tcPr>
            <w:tcW w:w="7078" w:type="dxa"/>
            <w:shd w:val="clear" w:color="auto" w:fill="auto"/>
          </w:tcPr>
          <w:p w14:paraId="1C1DCDA2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14:paraId="6BEC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000939A7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Иглодержатель</w:t>
            </w:r>
          </w:p>
        </w:tc>
        <w:tc>
          <w:tcPr>
            <w:tcW w:w="7078" w:type="dxa"/>
            <w:shd w:val="clear" w:color="auto" w:fill="auto"/>
          </w:tcPr>
          <w:p w14:paraId="7CF55C8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14:paraId="2A5A4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76FB9AD3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Корнцанг </w:t>
            </w:r>
          </w:p>
        </w:tc>
        <w:tc>
          <w:tcPr>
            <w:tcW w:w="7078" w:type="dxa"/>
            <w:shd w:val="clear" w:color="auto" w:fill="auto"/>
          </w:tcPr>
          <w:p w14:paraId="2D6F855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14:paraId="2E56B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646B2488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Микроскоп </w:t>
            </w:r>
          </w:p>
        </w:tc>
        <w:tc>
          <w:tcPr>
            <w:tcW w:w="7078" w:type="dxa"/>
            <w:shd w:val="clear" w:color="auto" w:fill="auto"/>
          </w:tcPr>
          <w:p w14:paraId="7D65528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Не пользоваться несправным оборудованием.</w:t>
            </w:r>
          </w:p>
          <w:p w14:paraId="331C6FD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 работе с микроскопом источником опасности является электрический ток.</w:t>
            </w:r>
            <w:r>
              <w:rPr>
                <w:rFonts w:eastAsia="Times New Roman" w:cs="Times New Roman"/>
              </w:rPr>
              <w:cr/>
            </w:r>
            <w:r>
              <w:rPr>
                <w:rFonts w:eastAsia="Times New Roman" w:cs="Times New Roman"/>
              </w:rPr>
              <w:t>После окончания работы микроскоп необходимо отключить от сети.</w:t>
            </w:r>
          </w:p>
          <w:p w14:paraId="64FC7BAD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Не рекомендуется оставлять без присмотра включенный в сеть</w:t>
            </w:r>
          </w:p>
          <w:p w14:paraId="4521887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микроскоп.</w:t>
            </w:r>
          </w:p>
          <w:p w14:paraId="327E3226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Ремонтные и профилактические работы производить после отключения микроскопа от сети.</w:t>
            </w:r>
          </w:p>
        </w:tc>
      </w:tr>
      <w:tr w14:paraId="19A6C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4FA8AAEE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Ножницы Купера, прямые</w:t>
            </w:r>
          </w:p>
        </w:tc>
        <w:tc>
          <w:tcPr>
            <w:tcW w:w="7078" w:type="dxa"/>
            <w:shd w:val="clear" w:color="auto" w:fill="auto"/>
          </w:tcPr>
          <w:p w14:paraId="14B25D02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назначению. Аккуратно обращаться с инструментом для предотвращения самотравмирования</w:t>
            </w:r>
          </w:p>
        </w:tc>
      </w:tr>
      <w:tr w14:paraId="40A7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2D7EED34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Ножницы остроконечные</w:t>
            </w:r>
          </w:p>
        </w:tc>
        <w:tc>
          <w:tcPr>
            <w:tcW w:w="7078" w:type="dxa"/>
            <w:shd w:val="clear" w:color="auto" w:fill="auto"/>
          </w:tcPr>
          <w:p w14:paraId="795EB08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назначению. Аккуратно обращаться с инструментом для предотвращения самотравмирования</w:t>
            </w:r>
          </w:p>
        </w:tc>
      </w:tr>
      <w:tr w14:paraId="3FDC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7866C717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Ножницы прямые тупоконечные</w:t>
            </w:r>
          </w:p>
        </w:tc>
        <w:tc>
          <w:tcPr>
            <w:tcW w:w="7078" w:type="dxa"/>
            <w:shd w:val="clear" w:color="auto" w:fill="auto"/>
          </w:tcPr>
          <w:p w14:paraId="19F0A4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назначению. Аккуратно обращаться с инструментом для предотвращения самотравмирования</w:t>
            </w:r>
          </w:p>
        </w:tc>
      </w:tr>
      <w:tr w14:paraId="5860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7DD14FBC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Перкуссионный молоточек </w:t>
            </w:r>
          </w:p>
        </w:tc>
        <w:tc>
          <w:tcPr>
            <w:tcW w:w="7078" w:type="dxa"/>
            <w:shd w:val="clear" w:color="auto" w:fill="auto"/>
          </w:tcPr>
          <w:p w14:paraId="61ECE6D7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оборудование по назначению</w:t>
            </w:r>
          </w:p>
        </w:tc>
      </w:tr>
      <w:tr w14:paraId="1D820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1148F188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Пинцет анатомический общего назначения</w:t>
            </w:r>
          </w:p>
        </w:tc>
        <w:tc>
          <w:tcPr>
            <w:tcW w:w="7078" w:type="dxa"/>
            <w:shd w:val="clear" w:color="auto" w:fill="auto"/>
          </w:tcPr>
          <w:p w14:paraId="3666B6DD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оборудование по назначению</w:t>
            </w:r>
          </w:p>
        </w:tc>
      </w:tr>
      <w:tr w14:paraId="726BF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208F52B5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Плессиметр</w:t>
            </w:r>
          </w:p>
        </w:tc>
        <w:tc>
          <w:tcPr>
            <w:tcW w:w="7078" w:type="dxa"/>
            <w:shd w:val="clear" w:color="auto" w:fill="auto"/>
          </w:tcPr>
          <w:p w14:paraId="3564ADC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14:paraId="387B1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32B6F90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Препаровальная игла </w:t>
            </w:r>
          </w:p>
        </w:tc>
        <w:tc>
          <w:tcPr>
            <w:tcW w:w="7078" w:type="dxa"/>
            <w:shd w:val="clear" w:color="auto" w:fill="auto"/>
          </w:tcPr>
          <w:p w14:paraId="307CA2B7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назначению. Аккуратно обращаться с инструментом для предотвращения самотравмирования</w:t>
            </w:r>
          </w:p>
        </w:tc>
      </w:tr>
      <w:tr w14:paraId="3C13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64E76EBB">
            <w:pPr>
              <w:pStyle w:val="217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Сухожаровый шкаф</w:t>
            </w:r>
          </w:p>
        </w:tc>
        <w:tc>
          <w:tcPr>
            <w:tcW w:w="7078" w:type="dxa"/>
            <w:shd w:val="clear" w:color="auto" w:fill="auto"/>
          </w:tcPr>
          <w:p w14:paraId="1D8FD58D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Общие требования безопасности:</w:t>
            </w:r>
          </w:p>
          <w:p w14:paraId="32003EF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 работе с электронагревательными приборами допускаются лица прошедшие инструктаж по правилам их безопасной эксплуатации.  Работник должен знать инструкцию по эксплуатации каждого прибора.</w:t>
            </w:r>
          </w:p>
          <w:p w14:paraId="4E7D55A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Плитку необходимо устанавливать на подставке из асбеста или другого теплоизолирующего материала.</w:t>
            </w:r>
          </w:p>
          <w:p w14:paraId="394C27D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Травмоопасность: </w:t>
            </w:r>
          </w:p>
          <w:p w14:paraId="39A1F93D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-при включении электронагревательных приборов в сеть </w:t>
            </w:r>
          </w:p>
          <w:p w14:paraId="15E37C9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-при выключении их из электросети </w:t>
            </w:r>
          </w:p>
          <w:p w14:paraId="532F881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-при работе с неисправными приборами </w:t>
            </w:r>
          </w:p>
          <w:p w14:paraId="6185C9E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-при несоблюдении инструкции по их эксплуатации; </w:t>
            </w:r>
          </w:p>
          <w:p w14:paraId="649E948D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Включать электронагревательные приборы в сеть в соответствии с потребляемым напряжением.</w:t>
            </w:r>
          </w:p>
          <w:p w14:paraId="32B5E0E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Соблюдать личную гигиену и чистоту рабочего места. </w:t>
            </w:r>
          </w:p>
          <w:p w14:paraId="0682E00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Не включать электро-, водонагревательные приборы в сеть без воды. Запрещается оставлять без присмотра включенные электронагревательные приборы и зажженные горелки, держать вблизи них вату, марлю, спирт и другие легко воспламеняющиеся вещества.</w:t>
            </w:r>
          </w:p>
          <w:p w14:paraId="65D95704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 эксплуатации прибора необходимо строго руководствоваться правилами (инструкциями), изложенными в технических паспортах, прилагаемых к приборам и оборудованию заводом-изготовителем.</w:t>
            </w:r>
          </w:p>
          <w:p w14:paraId="5DEC1290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Требования безопасности по окончании работы: </w:t>
            </w:r>
          </w:p>
          <w:p w14:paraId="4490FD8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-отключить прибор от электросети, не дергать за электрошнур; </w:t>
            </w:r>
          </w:p>
          <w:p w14:paraId="095BB88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-после полного остывания произвести очистку прибора;</w:t>
            </w:r>
          </w:p>
          <w:p w14:paraId="1EC2F6A0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-не допускать падения электронагревательных приборов; </w:t>
            </w:r>
          </w:p>
          <w:p w14:paraId="387C1AF6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-не допускать воздействия на подводящие кабели, электрошнуры горячих жидкостей, падения тяжёлых предметов;</w:t>
            </w:r>
          </w:p>
          <w:p w14:paraId="0C232A1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о всех недостатках, отмеченных в работе электронагревательных приборов, сообщить администрации.</w:t>
            </w:r>
          </w:p>
        </w:tc>
      </w:tr>
      <w:tr w14:paraId="3747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45B3FF2D">
            <w:pPr>
              <w:rPr>
                <w:rFonts w:cs="Times New Roman"/>
              </w:rPr>
            </w:pPr>
            <w:r>
              <w:rPr>
                <w:rFonts w:cs="Times New Roman"/>
              </w:rPr>
              <w:t>Фонендоскоп</w:t>
            </w:r>
          </w:p>
        </w:tc>
        <w:tc>
          <w:tcPr>
            <w:tcW w:w="7078" w:type="dxa"/>
            <w:shd w:val="clear" w:color="auto" w:fill="auto"/>
          </w:tcPr>
          <w:p w14:paraId="25513412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 по назначению</w:t>
            </w:r>
          </w:p>
        </w:tc>
      </w:tr>
      <w:tr w14:paraId="4EC60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shd w:val="clear" w:color="auto" w:fill="auto"/>
          </w:tcPr>
          <w:p w14:paraId="47FD29F3">
            <w:pPr>
              <w:rPr>
                <w:rFonts w:cs="Times New Roman"/>
              </w:rPr>
            </w:pPr>
            <w:r>
              <w:rPr>
                <w:rFonts w:cs="Times New Roman"/>
              </w:rPr>
              <w:t>Цапки для хирургического белья</w:t>
            </w:r>
          </w:p>
        </w:tc>
        <w:tc>
          <w:tcPr>
            <w:tcW w:w="7078" w:type="dxa"/>
            <w:shd w:val="clear" w:color="auto" w:fill="auto"/>
          </w:tcPr>
          <w:p w14:paraId="563F2046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Использовать инструмент по назначению</w:t>
            </w:r>
          </w:p>
        </w:tc>
      </w:tr>
      <w:tr w14:paraId="680C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2493" w:type="dxa"/>
            <w:shd w:val="clear" w:color="auto" w:fill="auto"/>
          </w:tcPr>
          <w:p w14:paraId="1DB42C55">
            <w:pPr>
              <w:rPr>
                <w:rFonts w:cs="Times New Roman"/>
              </w:rPr>
            </w:pPr>
            <w:r>
              <w:rPr>
                <w:rFonts w:cs="Times New Roman"/>
              </w:rPr>
              <w:t>Шпатель металлический двусторонний</w:t>
            </w:r>
          </w:p>
        </w:tc>
        <w:tc>
          <w:tcPr>
            <w:tcW w:w="7078" w:type="dxa"/>
            <w:shd w:val="clear" w:color="auto" w:fill="auto"/>
          </w:tcPr>
          <w:p w14:paraId="24158143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инструмент только по назначению</w:t>
            </w:r>
          </w:p>
        </w:tc>
      </w:tr>
    </w:tbl>
    <w:p w14:paraId="0F5AD18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4BF99C6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41F21A1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7FE0F70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3B92B9BA">
      <w:pPr>
        <w:pStyle w:val="204"/>
        <w:numPr>
          <w:ilvl w:val="0"/>
          <w:numId w:val="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незамедлительно сообщить экспертам, находящимся на площадке</w:t>
      </w:r>
    </w:p>
    <w:p w14:paraId="06EBE11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3477A1C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71A871B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1B45A7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3E01623A">
      <w:pPr>
        <w:pStyle w:val="204"/>
        <w:numPr>
          <w:ilvl w:val="0"/>
          <w:numId w:val="4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50E05CD5">
      <w:pPr>
        <w:pStyle w:val="204"/>
        <w:numPr>
          <w:ilvl w:val="0"/>
          <w:numId w:val="4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02D9DABF">
      <w:pPr>
        <w:pStyle w:val="204"/>
        <w:numPr>
          <w:ilvl w:val="0"/>
          <w:numId w:val="4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7220B025">
      <w:pPr>
        <w:pStyle w:val="204"/>
        <w:numPr>
          <w:ilvl w:val="0"/>
          <w:numId w:val="4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3F1BABAC">
      <w:pPr>
        <w:pStyle w:val="204"/>
        <w:numPr>
          <w:ilvl w:val="0"/>
          <w:numId w:val="4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>
      <w:pPr>
        <w:pStyle w:val="204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>
      <w:footerReference r:id="rId6" w:type="first"/>
      <w:footerReference r:id="rId5" w:type="default"/>
      <w:pgSz w:w="11906" w:h="16838"/>
      <w:pgMar w:top="851" w:right="567" w:bottom="851" w:left="1418" w:header="708" w:footer="708" w:gutter="0"/>
      <w:pgNumType w:start="1"/>
      <w:cols w:space="1701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29822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 xml:space="preserve"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2824A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F1CCE"/>
    <w:multiLevelType w:val="multilevel"/>
    <w:tmpl w:val="09AF1CCE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1E403057"/>
    <w:multiLevelType w:val="multilevel"/>
    <w:tmpl w:val="1E40305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677600B"/>
    <w:multiLevelType w:val="multilevel"/>
    <w:tmpl w:val="5677600B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5B1C06CE"/>
    <w:multiLevelType w:val="multilevel"/>
    <w:tmpl w:val="5B1C06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325995"/>
    <w:rsid w:val="003D37FA"/>
    <w:rsid w:val="00463C10"/>
    <w:rsid w:val="00493E61"/>
    <w:rsid w:val="004C3BFC"/>
    <w:rsid w:val="00584FB3"/>
    <w:rsid w:val="006576F1"/>
    <w:rsid w:val="00721165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C1E22"/>
    <w:rsid w:val="00CD0B16"/>
    <w:rsid w:val="00CE2B77"/>
    <w:rsid w:val="00EB37B9"/>
    <w:rsid w:val="00F26301"/>
    <w:rsid w:val="00F66017"/>
    <w:rsid w:val="00F810FF"/>
    <w:rsid w:val="6FE9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hidden/>
    <w:qFormat/>
    <w:uiPriority w:val="0"/>
    <w:pPr>
      <w:spacing w:line="1" w:lineRule="atLeast"/>
      <w:outlineLvl w:val="0"/>
    </w:pPr>
    <w:rPr>
      <w:rFonts w:ascii="Times New Roman" w:hAnsi="Times New Roman" w:eastAsia="Calibri" w:cs="Calibri"/>
      <w:position w:val="-1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2"/>
    <w:basedOn w:val="1"/>
    <w:next w:val="1"/>
    <w:link w:val="57"/>
    <w:qFormat/>
    <w:uiPriority w:val="0"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7"/>
    <w:basedOn w:val="1"/>
    <w:next w:val="1"/>
    <w:link w:val="6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6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6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qFormat/>
    <w:uiPriority w:val="0"/>
    <w:rPr>
      <w:position w:val="-1"/>
      <w:vertAlign w:val="superscript"/>
    </w:rPr>
  </w:style>
  <w:style w:type="character" w:styleId="14">
    <w:name w:val="annotation reference"/>
    <w:basedOn w:val="11"/>
    <w:semiHidden/>
    <w:unhideWhenUsed/>
    <w:uiPriority w:val="99"/>
    <w:rPr>
      <w:sz w:val="16"/>
      <w:szCs w:val="16"/>
    </w:rPr>
  </w:style>
  <w:style w:type="character" w:styleId="15">
    <w:name w:val="endnote reference"/>
    <w:semiHidden/>
    <w:unhideWhenUsed/>
    <w:uiPriority w:val="99"/>
    <w:rPr>
      <w:vertAlign w:val="superscript"/>
    </w:rPr>
  </w:style>
  <w:style w:type="character" w:styleId="16">
    <w:name w:val="Hyperlink"/>
    <w:qFormat/>
    <w:uiPriority w:val="99"/>
    <w:rPr>
      <w:color w:val="0000FF"/>
      <w:position w:val="-1"/>
      <w:u w:val="single"/>
      <w:vertAlign w:val="baseline"/>
    </w:rPr>
  </w:style>
  <w:style w:type="paragraph" w:styleId="17">
    <w:name w:val="Balloon Text"/>
    <w:basedOn w:val="1"/>
    <w:hidden/>
    <w:qFormat/>
    <w:uiPriority w:val="0"/>
    <w:rPr>
      <w:rFonts w:ascii="Tahoma" w:hAnsi="Tahoma"/>
      <w:sz w:val="16"/>
      <w:szCs w:val="16"/>
    </w:rPr>
  </w:style>
  <w:style w:type="paragraph" w:styleId="18">
    <w:name w:val="endnote text"/>
    <w:basedOn w:val="1"/>
    <w:link w:val="201"/>
    <w:semiHidden/>
    <w:unhideWhenUsed/>
    <w:uiPriority w:val="99"/>
    <w:pPr>
      <w:spacing w:line="240" w:lineRule="auto"/>
    </w:pPr>
    <w:rPr>
      <w:sz w:val="20"/>
    </w:rPr>
  </w:style>
  <w:style w:type="paragraph" w:styleId="19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annotation text"/>
    <w:basedOn w:val="1"/>
    <w:link w:val="215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21">
    <w:name w:val="annotation subject"/>
    <w:basedOn w:val="20"/>
    <w:next w:val="20"/>
    <w:link w:val="216"/>
    <w:semiHidden/>
    <w:unhideWhenUsed/>
    <w:uiPriority w:val="99"/>
    <w:rPr>
      <w:b/>
      <w:bCs/>
    </w:rPr>
  </w:style>
  <w:style w:type="paragraph" w:styleId="22">
    <w:name w:val="footnote text"/>
    <w:basedOn w:val="1"/>
    <w:link w:val="200"/>
    <w:qFormat/>
    <w:uiPriority w:val="0"/>
    <w:rPr>
      <w:sz w:val="20"/>
      <w:szCs w:val="20"/>
    </w:rPr>
  </w:style>
  <w:style w:type="paragraph" w:styleId="23">
    <w:name w:val="toc 8"/>
    <w:basedOn w:val="1"/>
    <w:next w:val="1"/>
    <w:unhideWhenUsed/>
    <w:uiPriority w:val="39"/>
    <w:pPr>
      <w:spacing w:after="57"/>
      <w:ind w:left="1984"/>
    </w:pPr>
  </w:style>
  <w:style w:type="paragraph" w:styleId="24">
    <w:name w:val="header"/>
    <w:basedOn w:val="1"/>
    <w:link w:val="72"/>
    <w:qFormat/>
    <w:uiPriority w:val="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25">
    <w:name w:val="toc 9"/>
    <w:basedOn w:val="1"/>
    <w:next w:val="1"/>
    <w:unhideWhenUsed/>
    <w:uiPriority w:val="39"/>
    <w:pPr>
      <w:spacing w:after="57"/>
      <w:ind w:left="2268"/>
    </w:pPr>
  </w:style>
  <w:style w:type="paragraph" w:styleId="26">
    <w:name w:val="toc 7"/>
    <w:basedOn w:val="1"/>
    <w:next w:val="1"/>
    <w:unhideWhenUsed/>
    <w:uiPriority w:val="39"/>
    <w:pPr>
      <w:spacing w:after="57"/>
      <w:ind w:left="1701"/>
    </w:pPr>
  </w:style>
  <w:style w:type="paragraph" w:styleId="27">
    <w:name w:val="toc 1"/>
    <w:basedOn w:val="1"/>
    <w:next w:val="1"/>
    <w:hidden/>
    <w:qFormat/>
    <w:uiPriority w:val="39"/>
  </w:style>
  <w:style w:type="paragraph" w:styleId="28">
    <w:name w:val="toc 6"/>
    <w:basedOn w:val="1"/>
    <w:next w:val="1"/>
    <w:unhideWhenUsed/>
    <w:uiPriority w:val="39"/>
    <w:pPr>
      <w:spacing w:after="57"/>
      <w:ind w:left="1417"/>
    </w:pPr>
  </w:style>
  <w:style w:type="paragraph" w:styleId="29">
    <w:name w:val="table of figures"/>
    <w:basedOn w:val="1"/>
    <w:next w:val="1"/>
    <w:unhideWhenUsed/>
    <w:uiPriority w:val="99"/>
  </w:style>
  <w:style w:type="paragraph" w:styleId="30">
    <w:name w:val="toc 3"/>
    <w:basedOn w:val="1"/>
    <w:next w:val="1"/>
    <w:unhideWhenUsed/>
    <w:uiPriority w:val="39"/>
    <w:pPr>
      <w:spacing w:after="57"/>
      <w:ind w:left="567"/>
    </w:pPr>
  </w:style>
  <w:style w:type="paragraph" w:styleId="31">
    <w:name w:val="toc 2"/>
    <w:basedOn w:val="1"/>
    <w:next w:val="1"/>
    <w:hidden/>
    <w:qFormat/>
    <w:uiPriority w:val="39"/>
    <w:pPr>
      <w:ind w:left="240"/>
    </w:pPr>
  </w:style>
  <w:style w:type="paragraph" w:styleId="32">
    <w:name w:val="toc 4"/>
    <w:basedOn w:val="1"/>
    <w:next w:val="1"/>
    <w:unhideWhenUsed/>
    <w:uiPriority w:val="39"/>
    <w:pPr>
      <w:spacing w:after="57"/>
      <w:ind w:left="850"/>
    </w:pPr>
  </w:style>
  <w:style w:type="paragraph" w:styleId="33">
    <w:name w:val="toc 5"/>
    <w:basedOn w:val="1"/>
    <w:next w:val="1"/>
    <w:unhideWhenUsed/>
    <w:uiPriority w:val="39"/>
    <w:pPr>
      <w:spacing w:after="57"/>
      <w:ind w:left="1134"/>
    </w:pPr>
  </w:style>
  <w:style w:type="paragraph" w:styleId="34">
    <w:name w:val="Title"/>
    <w:basedOn w:val="1"/>
    <w:next w:val="1"/>
    <w:link w:val="66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35">
    <w:name w:val="footer"/>
    <w:basedOn w:val="1"/>
    <w:link w:val="74"/>
    <w:qFormat/>
    <w:uiPriority w:val="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36">
    <w:name w:val="Normal (Web)"/>
    <w:basedOn w:val="1"/>
    <w:hidden/>
    <w:qFormat/>
    <w:uiPriority w:val="0"/>
    <w:pPr>
      <w:spacing w:before="100" w:beforeAutospacing="1" w:after="100" w:afterAutospacing="1"/>
    </w:pPr>
    <w:rPr>
      <w:rFonts w:eastAsia="Times New Roman"/>
    </w:rPr>
  </w:style>
  <w:style w:type="paragraph" w:styleId="37">
    <w:name w:val="Subtitle"/>
    <w:basedOn w:val="1"/>
    <w:next w:val="1"/>
    <w:link w:val="67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38">
    <w:name w:val="Table Grid"/>
    <w:basedOn w:val="12"/>
    <w:qFormat/>
    <w:uiPriority w:val="0"/>
    <w:pPr>
      <w:spacing w:line="1" w:lineRule="atLeast"/>
      <w:outlineLvl w:val="0"/>
    </w:pPr>
    <w:rPr>
      <w:position w:val="-1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9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40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41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2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3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4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5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6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7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8">
    <w:name w:val="Title Char"/>
    <w:basedOn w:val="11"/>
    <w:uiPriority w:val="10"/>
    <w:rPr>
      <w:sz w:val="48"/>
      <w:szCs w:val="48"/>
    </w:rPr>
  </w:style>
  <w:style w:type="character" w:customStyle="1" w:styleId="49">
    <w:name w:val="Subtitle Char"/>
    <w:basedOn w:val="11"/>
    <w:qFormat/>
    <w:uiPriority w:val="11"/>
    <w:rPr>
      <w:sz w:val="24"/>
      <w:szCs w:val="24"/>
    </w:rPr>
  </w:style>
  <w:style w:type="character" w:customStyle="1" w:styleId="50">
    <w:name w:val="Quote Char"/>
    <w:qFormat/>
    <w:uiPriority w:val="29"/>
    <w:rPr>
      <w:i/>
    </w:rPr>
  </w:style>
  <w:style w:type="character" w:customStyle="1" w:styleId="51">
    <w:name w:val="Intense Quote Char"/>
    <w:uiPriority w:val="30"/>
    <w:rPr>
      <w:i/>
    </w:rPr>
  </w:style>
  <w:style w:type="character" w:customStyle="1" w:styleId="52">
    <w:name w:val="Header Char"/>
    <w:basedOn w:val="11"/>
    <w:uiPriority w:val="99"/>
  </w:style>
  <w:style w:type="character" w:customStyle="1" w:styleId="53">
    <w:name w:val="Caption Char"/>
    <w:uiPriority w:val="99"/>
  </w:style>
  <w:style w:type="character" w:customStyle="1" w:styleId="54">
    <w:name w:val="Footnote Text Char"/>
    <w:uiPriority w:val="99"/>
    <w:rPr>
      <w:sz w:val="18"/>
    </w:rPr>
  </w:style>
  <w:style w:type="character" w:customStyle="1" w:styleId="55">
    <w:name w:val="Endnote Text Char"/>
    <w:uiPriority w:val="99"/>
    <w:rPr>
      <w:sz w:val="20"/>
    </w:rPr>
  </w:style>
  <w:style w:type="character" w:customStyle="1" w:styleId="56">
    <w:name w:val="Заголовок 1 Знак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57">
    <w:name w:val="Заголовок 2 Знак1"/>
    <w:link w:val="3"/>
    <w:uiPriority w:val="9"/>
    <w:rPr>
      <w:rFonts w:ascii="Arial" w:hAnsi="Arial" w:eastAsia="Arial" w:cs="Arial"/>
      <w:sz w:val="34"/>
    </w:rPr>
  </w:style>
  <w:style w:type="character" w:customStyle="1" w:styleId="58">
    <w:name w:val="Заголовок 3 Знак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59">
    <w:name w:val="Заголовок 4 Знак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60">
    <w:name w:val="Заголовок 5 Знак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61">
    <w:name w:val="Заголовок 6 Знак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62">
    <w:name w:val="Заголовок 7 Знак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63">
    <w:name w:val="Заголовок 8 Знак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64">
    <w:name w:val="Заголовок 9 Знак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65">
    <w:name w:val="No Spacing"/>
    <w:hidden/>
    <w:qFormat/>
    <w:uiPriority w:val="0"/>
    <w:pPr>
      <w:spacing w:line="1" w:lineRule="atLeast"/>
      <w:outlineLvl w:val="0"/>
    </w:pPr>
    <w:rPr>
      <w:rFonts w:ascii="Times New Roman" w:hAnsi="Times New Roman" w:eastAsia="Calibri" w:cs="Calibri"/>
      <w:position w:val="-1"/>
      <w:sz w:val="24"/>
      <w:szCs w:val="24"/>
      <w:lang w:val="ru-RU" w:eastAsia="ru-RU" w:bidi="ar-SA"/>
    </w:rPr>
  </w:style>
  <w:style w:type="character" w:customStyle="1" w:styleId="66">
    <w:name w:val="Заголовок Знак"/>
    <w:link w:val="34"/>
    <w:uiPriority w:val="10"/>
    <w:rPr>
      <w:sz w:val="48"/>
      <w:szCs w:val="48"/>
    </w:rPr>
  </w:style>
  <w:style w:type="character" w:customStyle="1" w:styleId="67">
    <w:name w:val="Подзаголовок Знак"/>
    <w:link w:val="37"/>
    <w:uiPriority w:val="11"/>
    <w:rPr>
      <w:sz w:val="24"/>
      <w:szCs w:val="24"/>
    </w:rPr>
  </w:style>
  <w:style w:type="paragraph" w:styleId="68">
    <w:name w:val="Quote"/>
    <w:basedOn w:val="1"/>
    <w:next w:val="1"/>
    <w:link w:val="69"/>
    <w:qFormat/>
    <w:uiPriority w:val="29"/>
    <w:pPr>
      <w:ind w:left="720" w:right="720"/>
    </w:pPr>
    <w:rPr>
      <w:i/>
    </w:rPr>
  </w:style>
  <w:style w:type="character" w:customStyle="1" w:styleId="69">
    <w:name w:val="Цитата 2 Знак"/>
    <w:link w:val="68"/>
    <w:qFormat/>
    <w:uiPriority w:val="29"/>
    <w:rPr>
      <w:i/>
    </w:rPr>
  </w:style>
  <w:style w:type="paragraph" w:styleId="70">
    <w:name w:val="Intense Quote"/>
    <w:basedOn w:val="1"/>
    <w:next w:val="1"/>
    <w:link w:val="7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71">
    <w:name w:val="Выделенная цитата Знак"/>
    <w:link w:val="70"/>
    <w:qFormat/>
    <w:uiPriority w:val="30"/>
    <w:rPr>
      <w:i/>
    </w:rPr>
  </w:style>
  <w:style w:type="character" w:customStyle="1" w:styleId="72">
    <w:name w:val="Верхний колонтитул Знак1"/>
    <w:link w:val="24"/>
    <w:uiPriority w:val="99"/>
  </w:style>
  <w:style w:type="character" w:customStyle="1" w:styleId="73">
    <w:name w:val="Footer Char"/>
    <w:uiPriority w:val="99"/>
  </w:style>
  <w:style w:type="character" w:customStyle="1" w:styleId="74">
    <w:name w:val="Нижний колонтитул Знак1"/>
    <w:link w:val="35"/>
    <w:uiPriority w:val="99"/>
  </w:style>
  <w:style w:type="table" w:customStyle="1" w:styleId="75">
    <w:name w:val="Table Grid Light"/>
    <w:basedOn w:val="12"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76">
    <w:name w:val="Plain Table 1"/>
    <w:basedOn w:val="12"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Plain Table 2"/>
    <w:basedOn w:val="1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8">
    <w:name w:val="Plain Table 3"/>
    <w:basedOn w:val="12"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9">
    <w:name w:val="Plain Table 4"/>
    <w:basedOn w:val="12"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0">
    <w:name w:val="Plain Table 5"/>
    <w:basedOn w:val="12"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1">
    <w:name w:val="Grid Table 1 Light"/>
    <w:basedOn w:val="12"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82">
    <w:name w:val="Grid Table 1 Light - Accent 1"/>
    <w:basedOn w:val="12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83">
    <w:name w:val="Grid Table 1 Light - Accent 2"/>
    <w:basedOn w:val="12"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84">
    <w:name w:val="Grid Table 1 Light - Accent 3"/>
    <w:basedOn w:val="12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85">
    <w:name w:val="Grid Table 1 Light - Accent 4"/>
    <w:basedOn w:val="12"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86">
    <w:name w:val="Grid Table 1 Light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87">
    <w:name w:val="Grid Table 1 Light - Accent 6"/>
    <w:basedOn w:val="12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88">
    <w:name w:val="Grid Table 2"/>
    <w:basedOn w:val="12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9">
    <w:name w:val="Grid Table 2 - Accent 1"/>
    <w:basedOn w:val="12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0">
    <w:name w:val="Grid Table 2 - Accent 2"/>
    <w:basedOn w:val="1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1">
    <w:name w:val="Grid Table 2 - Accent 3"/>
    <w:basedOn w:val="12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2">
    <w:name w:val="Grid Table 2 - Accent 4"/>
    <w:basedOn w:val="12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3">
    <w:name w:val="Grid Table 2 - Accent 5"/>
    <w:basedOn w:val="12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4">
    <w:name w:val="Grid Table 2 - Accent 6"/>
    <w:basedOn w:val="12"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5">
    <w:name w:val="Grid Table 3"/>
    <w:basedOn w:val="12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6">
    <w:name w:val="Grid Table 3 - Accent 1"/>
    <w:basedOn w:val="12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7">
    <w:name w:val="Grid Table 3 - Accent 2"/>
    <w:basedOn w:val="1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8">
    <w:name w:val="Grid Table 3 - Accent 3"/>
    <w:basedOn w:val="12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9">
    <w:name w:val="Grid Table 3 - Accent 4"/>
    <w:basedOn w:val="12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0">
    <w:name w:val="Grid Table 3 - Accent 5"/>
    <w:basedOn w:val="12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1">
    <w:name w:val="Grid Table 3 - Accent 6"/>
    <w:basedOn w:val="12"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2">
    <w:name w:val="Grid Table 4"/>
    <w:basedOn w:val="12"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3">
    <w:name w:val="Grid Table 4 - Accent 1"/>
    <w:basedOn w:val="12"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104">
    <w:name w:val="Grid Table 4 - Accent 2"/>
    <w:basedOn w:val="12"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05">
    <w:name w:val="Grid Table 4 - Accent 3"/>
    <w:basedOn w:val="12"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06">
    <w:name w:val="Grid Table 4 - Accent 4"/>
    <w:basedOn w:val="12"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7">
    <w:name w:val="Grid Table 4 - Accent 5"/>
    <w:basedOn w:val="12"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8">
    <w:name w:val="Grid Table 4 - Accent 6"/>
    <w:basedOn w:val="12"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9">
    <w:name w:val="Grid Table 5 Dark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10">
    <w:name w:val="Grid Table 5 Dark- Accent 1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111">
    <w:name w:val="Grid Table 5 Dark - Accent 2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112">
    <w:name w:val="Grid Table 5 Dark - Accent 3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113">
    <w:name w:val="Grid Table 5 Dark- Accent 4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114">
    <w:name w:val="Grid Table 5 Dark - Accent 5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115">
    <w:name w:val="Grid Table 5 Dark - Accent 6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116">
    <w:name w:val="Grid Table 6 Colorful"/>
    <w:basedOn w:val="12"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7">
    <w:name w:val="Grid Table 6 Colorful - Accent 1"/>
    <w:basedOn w:val="12"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8">
    <w:name w:val="Grid Table 6 Colorful - Accent 2"/>
    <w:basedOn w:val="1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9">
    <w:name w:val="Grid Table 6 Colorful - Accent 3"/>
    <w:basedOn w:val="12"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0">
    <w:name w:val="Grid Table 6 Colorful - Accent 4"/>
    <w:basedOn w:val="12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1">
    <w:name w:val="Grid Table 6 Colorful - Accent 5"/>
    <w:basedOn w:val="12"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2">
    <w:name w:val="Grid Table 6 Colorful - Accent 6"/>
    <w:basedOn w:val="12"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3">
    <w:name w:val="Grid Table 7 Colorful"/>
    <w:basedOn w:val="12"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4">
    <w:name w:val="Grid Table 7 Colorful - Accent 1"/>
    <w:basedOn w:val="12"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5">
    <w:name w:val="Grid Table 7 Colorful - Accent 2"/>
    <w:basedOn w:val="12"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6">
    <w:name w:val="Grid Table 7 Colorful - Accent 3"/>
    <w:basedOn w:val="12"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7">
    <w:name w:val="Grid Table 7 Colorful - Accent 4"/>
    <w:basedOn w:val="12"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8">
    <w:name w:val="Grid Table 7 Colorful - Accent 5"/>
    <w:basedOn w:val="12"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9">
    <w:name w:val="Grid Table 7 Colorful - Accent 6"/>
    <w:basedOn w:val="12"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30">
    <w:name w:val="List Table 1 Light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1 Light - Accent 1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32">
    <w:name w:val="List Table 1 Light - Accent 2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33">
    <w:name w:val="List Table 1 Light - Accent 3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34">
    <w:name w:val="List Table 1 Light - Accent 4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35">
    <w:name w:val="List Table 1 Light - Accent 5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36">
    <w:name w:val="List Table 1 Light - Accent 6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37">
    <w:name w:val="List Table 2"/>
    <w:basedOn w:val="12"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8">
    <w:name w:val="List Table 2 - Accent 1"/>
    <w:basedOn w:val="12"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9">
    <w:name w:val="List Table 2 - Accent 2"/>
    <w:basedOn w:val="12"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40">
    <w:name w:val="List Table 2 - Accent 3"/>
    <w:basedOn w:val="12"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41">
    <w:name w:val="List Table 2 - Accent 4"/>
    <w:basedOn w:val="12"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42">
    <w:name w:val="List Table 2 - Accent 5"/>
    <w:basedOn w:val="12"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3">
    <w:name w:val="List Table 2 - Accent 6"/>
    <w:basedOn w:val="12"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4">
    <w:name w:val="List Table 3"/>
    <w:basedOn w:val="12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5">
    <w:name w:val="List Table 3 - Accent 1"/>
    <w:basedOn w:val="12"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46">
    <w:name w:val="List Table 3 - Accent 2"/>
    <w:basedOn w:val="1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47">
    <w:name w:val="List Table 3 - Accent 3"/>
    <w:basedOn w:val="12"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48">
    <w:name w:val="List Table 3 - Accent 4"/>
    <w:basedOn w:val="12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49">
    <w:name w:val="List Table 3 - Accent 5"/>
    <w:basedOn w:val="12"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50">
    <w:name w:val="List Table 3 - Accent 6"/>
    <w:basedOn w:val="12"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51">
    <w:name w:val="List Table 4"/>
    <w:basedOn w:val="12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2">
    <w:name w:val="List Table 4 - Accent 1"/>
    <w:basedOn w:val="12"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53">
    <w:name w:val="List Table 4 - Accent 2"/>
    <w:basedOn w:val="12"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54">
    <w:name w:val="List Table 4 - Accent 3"/>
    <w:basedOn w:val="12"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55">
    <w:name w:val="List Table 4 - Accent 4"/>
    <w:basedOn w:val="12"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56">
    <w:name w:val="List Table 4 - Accent 5"/>
    <w:basedOn w:val="12"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57">
    <w:name w:val="List Table 4 - Accent 6"/>
    <w:basedOn w:val="12"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58">
    <w:name w:val="List Table 5 Dark"/>
    <w:basedOn w:val="12"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9">
    <w:name w:val="List Table 5 Dark - Accent 1"/>
    <w:basedOn w:val="12"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60">
    <w:name w:val="List Table 5 Dark - Accent 2"/>
    <w:basedOn w:val="12"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61">
    <w:name w:val="List Table 5 Dark - Accent 3"/>
    <w:basedOn w:val="12"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62">
    <w:name w:val="List Table 5 Dark - Accent 4"/>
    <w:basedOn w:val="12"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63">
    <w:name w:val="List Table 5 Dark - Accent 5"/>
    <w:basedOn w:val="12"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64">
    <w:name w:val="List Table 5 Dark - Accent 6"/>
    <w:basedOn w:val="12"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65">
    <w:name w:val="List Table 6 Colorful"/>
    <w:basedOn w:val="12"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6">
    <w:name w:val="List Table 6 Colorful - Accent 1"/>
    <w:basedOn w:val="12"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67">
    <w:name w:val="List Table 6 Colorful - Accent 2"/>
    <w:basedOn w:val="12"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8">
    <w:name w:val="List Table 6 Colorful - Accent 3"/>
    <w:basedOn w:val="12"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6 Colorful - Accent 4"/>
    <w:basedOn w:val="12"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0">
    <w:name w:val="List Table 6 Colorful - Accent 5"/>
    <w:basedOn w:val="12"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1">
    <w:name w:val="List Table 6 Colorful - Accent 6"/>
    <w:basedOn w:val="12"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2">
    <w:name w:val="List Table 7 Colorful"/>
    <w:basedOn w:val="12"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3">
    <w:name w:val="List Table 7 Colorful - Accent 1"/>
    <w:basedOn w:val="12"/>
    <w:uiPriority w:val="99"/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74">
    <w:name w:val="List Table 7 Colorful - Accent 2"/>
    <w:basedOn w:val="12"/>
    <w:uiPriority w:val="99"/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5">
    <w:name w:val="List Table 7 Colorful - Accent 3"/>
    <w:basedOn w:val="12"/>
    <w:uiPriority w:val="99"/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st Table 7 Colorful - Accent 4"/>
    <w:basedOn w:val="12"/>
    <w:uiPriority w:val="99"/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7">
    <w:name w:val="List Table 7 Colorful - Accent 5"/>
    <w:basedOn w:val="12"/>
    <w:uiPriority w:val="99"/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8">
    <w:name w:val="List Table 7 Colorful - Accent 6"/>
    <w:basedOn w:val="12"/>
    <w:uiPriority w:val="99"/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9">
    <w:name w:val="Lined - Accent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0">
    <w:name w:val="Lined - Accent 1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1">
    <w:name w:val="Lined - Accent 2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2">
    <w:name w:val="Lined - Accent 3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83">
    <w:name w:val="Lined - Accent 4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84">
    <w:name w:val="Lined - Accent 5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85">
    <w:name w:val="Lined - Accent 6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86">
    <w:name w:val="Bordered &amp; Lined - Accent"/>
    <w:basedOn w:val="12"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7">
    <w:name w:val="Bordered &amp; Lined - Accent 1"/>
    <w:basedOn w:val="12"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8">
    <w:name w:val="Bordered &amp; Lined - Accent 2"/>
    <w:basedOn w:val="12"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9">
    <w:name w:val="Bordered &amp; Lined - Accent 3"/>
    <w:basedOn w:val="12"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90">
    <w:name w:val="Bordered &amp; Lined - Accent 4"/>
    <w:basedOn w:val="12"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91">
    <w:name w:val="Bordered &amp; Lined - Accent 5"/>
    <w:basedOn w:val="12"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92">
    <w:name w:val="Bordered &amp; Lined - Accent 6"/>
    <w:basedOn w:val="12"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93">
    <w:name w:val="Bordered"/>
    <w:basedOn w:val="12"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4">
    <w:name w:val="Bordered - Accent 1"/>
    <w:basedOn w:val="12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95">
    <w:name w:val="Bordered - Accent 2"/>
    <w:basedOn w:val="12"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96">
    <w:name w:val="Bordered - Accent 3"/>
    <w:basedOn w:val="12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97">
    <w:name w:val="Bordered - Accent 4"/>
    <w:basedOn w:val="12"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98">
    <w:name w:val="Bordered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99">
    <w:name w:val="Bordered - Accent 6"/>
    <w:basedOn w:val="12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200">
    <w:name w:val="Текст сноски Знак1"/>
    <w:link w:val="22"/>
    <w:uiPriority w:val="99"/>
    <w:rPr>
      <w:sz w:val="18"/>
    </w:rPr>
  </w:style>
  <w:style w:type="character" w:customStyle="1" w:styleId="201">
    <w:name w:val="Текст концевой сноски Знак"/>
    <w:link w:val="18"/>
    <w:uiPriority w:val="99"/>
    <w:rPr>
      <w:sz w:val="20"/>
    </w:rPr>
  </w:style>
  <w:style w:type="paragraph" w:customStyle="1" w:styleId="202">
    <w:name w:val="TOC Heading"/>
    <w:basedOn w:val="2"/>
    <w:next w:val="1"/>
    <w:hidden/>
    <w:qFormat/>
    <w:uiPriority w:val="0"/>
    <w:pPr>
      <w:outlineLvl w:val="9"/>
    </w:pPr>
    <w:rPr>
      <w:rFonts w:eastAsia="Times New Roman" w:cs="Times New Roman"/>
    </w:rPr>
  </w:style>
  <w:style w:type="table" w:customStyle="1" w:styleId="203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4">
    <w:name w:val="List Paragraph"/>
    <w:basedOn w:val="1"/>
    <w:hidden/>
    <w:qFormat/>
    <w:uiPriority w:val="34"/>
    <w:pPr>
      <w:ind w:left="720"/>
    </w:pPr>
  </w:style>
  <w:style w:type="character" w:customStyle="1" w:styleId="205">
    <w:name w:val="Текст выноски Знак"/>
    <w:qFormat/>
    <w:uiPriority w:val="0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206">
    <w:name w:val="otekstj"/>
    <w:basedOn w:val="1"/>
    <w:hidden/>
    <w:qFormat/>
    <w:uiPriority w:val="0"/>
    <w:pPr>
      <w:spacing w:before="100" w:beforeAutospacing="1" w:after="100" w:afterAutospacing="1"/>
    </w:pPr>
    <w:rPr>
      <w:rFonts w:eastAsia="Times New Roman"/>
    </w:rPr>
  </w:style>
  <w:style w:type="character" w:customStyle="1" w:styleId="207">
    <w:name w:val="apple-converted-space"/>
    <w:basedOn w:val="11"/>
    <w:qFormat/>
    <w:uiPriority w:val="0"/>
    <w:rPr>
      <w:position w:val="-1"/>
      <w:vertAlign w:val="baseline"/>
    </w:rPr>
  </w:style>
  <w:style w:type="character" w:customStyle="1" w:styleId="208">
    <w:name w:val="Верхний колонтитул Знак"/>
    <w:qFormat/>
    <w:uiPriority w:val="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209">
    <w:name w:val="Нижний колонтитул Знак"/>
    <w:qFormat/>
    <w:uiPriority w:val="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210">
    <w:name w:val="Заголовок 1 Знак"/>
    <w:qFormat/>
    <w:uiPriority w:val="0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11">
    <w:name w:val="Заголовок 2 Знак"/>
    <w:qFormat/>
    <w:uiPriority w:val="0"/>
    <w:rPr>
      <w:rFonts w:ascii="Cambria" w:hAnsi="Cambria" w:eastAsia="Times New Roman" w:cs="Times New Roman"/>
      <w:b/>
      <w:bCs/>
      <w:i/>
      <w:iCs/>
      <w:position w:val="-1"/>
      <w:sz w:val="28"/>
      <w:szCs w:val="28"/>
      <w:vertAlign w:val="baseline"/>
    </w:rPr>
  </w:style>
  <w:style w:type="table" w:customStyle="1" w:styleId="212">
    <w:name w:val="Сетка таблицы1"/>
    <w:basedOn w:val="12"/>
    <w:qFormat/>
    <w:uiPriority w:val="0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13">
    <w:name w:val="Текст сноски Знак"/>
    <w:qFormat/>
    <w:uiPriority w:val="0"/>
    <w:rPr>
      <w:rFonts w:ascii="Times New Roman" w:hAnsi="Times New Roman"/>
      <w:position w:val="-1"/>
      <w:vertAlign w:val="baseline"/>
    </w:rPr>
  </w:style>
  <w:style w:type="table" w:customStyle="1" w:styleId="214">
    <w:name w:val="StGen0"/>
    <w:basedOn w:val="203"/>
    <w:uiPriority w:val="0"/>
    <w:tblPr>
      <w:tblCellMar>
        <w:left w:w="108" w:type="dxa"/>
        <w:right w:w="108" w:type="dxa"/>
      </w:tblCellMar>
    </w:tblPr>
  </w:style>
  <w:style w:type="character" w:customStyle="1" w:styleId="215">
    <w:name w:val="Текст примечания Знак"/>
    <w:basedOn w:val="11"/>
    <w:link w:val="20"/>
    <w:semiHidden/>
    <w:uiPriority w:val="99"/>
    <w:rPr>
      <w:rFonts w:ascii="Times New Roman" w:hAnsi="Times New Roman"/>
      <w:position w:val="-1"/>
      <w:lang w:eastAsia="ru-RU"/>
    </w:rPr>
  </w:style>
  <w:style w:type="character" w:customStyle="1" w:styleId="216">
    <w:name w:val="Тема примечания Знак"/>
    <w:basedOn w:val="215"/>
    <w:link w:val="21"/>
    <w:semiHidden/>
    <w:uiPriority w:val="99"/>
    <w:rPr>
      <w:rFonts w:ascii="Times New Roman" w:hAnsi="Times New Roman"/>
      <w:b/>
      <w:bCs/>
      <w:position w:val="-1"/>
      <w:lang w:eastAsia="ru-RU"/>
    </w:rPr>
  </w:style>
  <w:style w:type="paragraph" w:customStyle="1" w:styleId="217">
    <w:name w:val="Default"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1932</Words>
  <Characters>11015</Characters>
  <Lines>91</Lines>
  <Paragraphs>25</Paragraphs>
  <TotalTime>29</TotalTime>
  <ScaleCrop>false</ScaleCrop>
  <LinksUpToDate>false</LinksUpToDate>
  <CharactersWithSpaces>12922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2023-10-10T08:16:00Z</dcterms:created>
  <dc:creator>Наталья Петровна Овчинникова</dc:creator>
  <cp:lastModifiedBy>Karpinskay-USHT</cp:lastModifiedBy>
  <dcterms:modified xsi:type="dcterms:W3CDTF">2026-01-12T04:36:08Z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3B86C44644FA4CA3926FE6B93F768995_12</vt:lpwstr>
  </property>
</Properties>
</file>